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360"/>
      </w:tblGrid>
      <w:tr w:rsidR="0009091B" w:rsidTr="0009091B">
        <w:tc>
          <w:tcPr>
            <w:tcW w:w="0" w:type="auto"/>
            <w:vAlign w:val="center"/>
            <w:hideMark/>
          </w:tcPr>
          <w:tbl>
            <w:tblPr>
              <w:tblpPr w:vertAnchor="text"/>
              <w:tblW w:w="5000" w:type="pct"/>
              <w:shd w:val="clear" w:color="auto" w:fill="EDEDED"/>
              <w:tblCellMar>
                <w:left w:w="0" w:type="dxa"/>
                <w:right w:w="0" w:type="dxa"/>
              </w:tblCellMar>
              <w:tblLook w:val="04A0" w:firstRow="1" w:lastRow="0" w:firstColumn="1" w:lastColumn="0" w:noHBand="0" w:noVBand="1"/>
            </w:tblPr>
            <w:tblGrid>
              <w:gridCol w:w="9360"/>
            </w:tblGrid>
            <w:tr w:rsidR="0009091B">
              <w:tc>
                <w:tcPr>
                  <w:tcW w:w="0" w:type="auto"/>
                  <w:shd w:val="clear" w:color="auto" w:fill="EDEDED"/>
                  <w:vAlign w:val="center"/>
                  <w:hideMark/>
                </w:tcPr>
                <w:tbl>
                  <w:tblPr>
                    <w:tblW w:w="9750" w:type="dxa"/>
                    <w:jc w:val="center"/>
                    <w:shd w:val="clear" w:color="auto" w:fill="FAFAFA"/>
                    <w:tblCellMar>
                      <w:left w:w="0" w:type="dxa"/>
                      <w:right w:w="0" w:type="dxa"/>
                    </w:tblCellMar>
                    <w:tblLook w:val="04A0" w:firstRow="1" w:lastRow="0" w:firstColumn="1" w:lastColumn="0" w:noHBand="0" w:noVBand="1"/>
                  </w:tblPr>
                  <w:tblGrid>
                    <w:gridCol w:w="9750"/>
                  </w:tblGrid>
                  <w:tr w:rsidR="0009091B">
                    <w:trPr>
                      <w:jc w:val="center"/>
                    </w:trPr>
                    <w:tc>
                      <w:tcPr>
                        <w:tcW w:w="0" w:type="auto"/>
                        <w:shd w:val="clear" w:color="auto" w:fill="FAFAFA"/>
                        <w:vAlign w:val="center"/>
                        <w:hideMark/>
                      </w:tcPr>
                      <w:tbl>
                        <w:tblPr>
                          <w:tblW w:w="5000" w:type="pct"/>
                          <w:shd w:val="clear" w:color="auto" w:fill="FAFAFA"/>
                          <w:tblCellMar>
                            <w:left w:w="0" w:type="dxa"/>
                            <w:right w:w="0" w:type="dxa"/>
                          </w:tblCellMar>
                          <w:tblLook w:val="04A0" w:firstRow="1" w:lastRow="0" w:firstColumn="1" w:lastColumn="0" w:noHBand="0" w:noVBand="1"/>
                        </w:tblPr>
                        <w:tblGrid>
                          <w:gridCol w:w="150"/>
                          <w:gridCol w:w="9450"/>
                          <w:gridCol w:w="150"/>
                        </w:tblGrid>
                        <w:tr w:rsidR="0009091B">
                          <w:tc>
                            <w:tcPr>
                              <w:tcW w:w="150" w:type="dxa"/>
                              <w:shd w:val="clear" w:color="auto" w:fill="FAFAFA"/>
                              <w:vAlign w:val="center"/>
                              <w:hideMark/>
                            </w:tcPr>
                            <w:p w:rsidR="0009091B" w:rsidRDefault="0009091B">
                              <w:pPr>
                                <w:rPr>
                                  <w:rFonts w:eastAsia="Times New Roman"/>
                                </w:rPr>
                              </w:pPr>
                              <w:r>
                                <w:rPr>
                                  <w:rFonts w:eastAsia="Times New Roman"/>
                                  <w:noProof/>
                                </w:rPr>
                                <w:drawing>
                                  <wp:inline distT="0" distB="0" distL="0" distR="0">
                                    <wp:extent cx="6350" cy="6350"/>
                                    <wp:effectExtent l="0" t="0" r="0" b="0"/>
                                    <wp:docPr id="4" name="Picture 4" descr="https://www.informz.net/admin31/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formz.net/admin31/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shd w:val="clear" w:color="auto" w:fill="FAFAFA"/>
                              <w:vAlign w:val="center"/>
                              <w:hideMark/>
                            </w:tcPr>
                            <w:tbl>
                              <w:tblPr>
                                <w:tblW w:w="5000" w:type="pct"/>
                                <w:shd w:val="clear" w:color="auto" w:fill="FAFAFA"/>
                                <w:tblCellMar>
                                  <w:left w:w="0" w:type="dxa"/>
                                  <w:right w:w="0" w:type="dxa"/>
                                </w:tblCellMar>
                                <w:tblLook w:val="04A0" w:firstRow="1" w:lastRow="0" w:firstColumn="1" w:lastColumn="0" w:noHBand="0" w:noVBand="1"/>
                              </w:tblPr>
                              <w:tblGrid>
                                <w:gridCol w:w="9450"/>
                              </w:tblGrid>
                              <w:tr w:rsidR="0009091B">
                                <w:tc>
                                  <w:tcPr>
                                    <w:tcW w:w="0" w:type="auto"/>
                                    <w:shd w:val="clear" w:color="auto" w:fill="FAFAFA"/>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09091B">
                                      <w:tc>
                                        <w:tcPr>
                                          <w:tcW w:w="0" w:type="auto"/>
                                          <w:vAlign w:val="center"/>
                                          <w:hideMark/>
                                        </w:tcPr>
                                        <w:p w:rsidR="0009091B" w:rsidRDefault="0009091B">
                                          <w:pPr>
                                            <w:spacing w:line="15" w:lineRule="atLeast"/>
                                            <w:rPr>
                                              <w:rFonts w:eastAsia="Times New Roman"/>
                                            </w:rPr>
                                          </w:pPr>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5810250" cy="1162050"/>
                                                <wp:effectExtent l="0" t="0" r="0" b="0"/>
                                                <wp:wrapSquare wrapText="bothSides"/>
                                                <wp:docPr id="5" name="Picture 5" descr="https://MMA.informz.net/MMA/data/images/Act%20Now.png?cb=873244&amp;cb=83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A.informz.net/MMA/data/images/Act%20Now.png?cb=873244&amp;cb=839220"/>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810250" cy="1162050"/>
                                                        </a:xfrm>
                                                        <a:prstGeom prst="rect">
                                                          <a:avLst/>
                                                        </a:prstGeom>
                                                        <a:noFill/>
                                                      </pic:spPr>
                                                    </pic:pic>
                                                  </a:graphicData>
                                                </a:graphic>
                                                <wp14:sizeRelH relativeFrom="page">
                                                  <wp14:pctWidth>0</wp14:pctWidth>
                                                </wp14:sizeRelH>
                                                <wp14:sizeRelV relativeFrom="page">
                                                  <wp14:pctHeight>0</wp14:pctHeight>
                                                </wp14:sizeRelV>
                                              </wp:anchor>
                                            </w:drawing>
                                          </w:r>
                                        </w:p>
                                      </w:tc>
                                    </w:tr>
                                    <w:tr w:rsidR="0009091B">
                                      <w:tc>
                                        <w:tcPr>
                                          <w:tcW w:w="0" w:type="auto"/>
                                          <w:vAlign w:val="center"/>
                                          <w:hideMark/>
                                        </w:tcPr>
                                        <w:p w:rsidR="0009091B" w:rsidRDefault="0009091B">
                                          <w:pPr>
                                            <w:rPr>
                                              <w:rFonts w:eastAsia="Times New Roman"/>
                                              <w:sz w:val="20"/>
                                              <w:szCs w:val="20"/>
                                            </w:rPr>
                                          </w:pPr>
                                        </w:p>
                                      </w:tc>
                                    </w:tr>
                                  </w:tbl>
                                  <w:p w:rsidR="0009091B" w:rsidRDefault="0009091B">
                                    <w:pPr>
                                      <w:rPr>
                                        <w:rFonts w:eastAsia="Times New Roman"/>
                                        <w:sz w:val="20"/>
                                        <w:szCs w:val="20"/>
                                      </w:rPr>
                                    </w:pPr>
                                  </w:p>
                                </w:tc>
                              </w:tr>
                            </w:tbl>
                            <w:p w:rsidR="0009091B" w:rsidRDefault="0009091B">
                              <w:pPr>
                                <w:rPr>
                                  <w:rFonts w:eastAsia="Times New Roman"/>
                                  <w:sz w:val="20"/>
                                  <w:szCs w:val="20"/>
                                </w:rPr>
                              </w:pPr>
                            </w:p>
                          </w:tc>
                          <w:tc>
                            <w:tcPr>
                              <w:tcW w:w="150" w:type="dxa"/>
                              <w:shd w:val="clear" w:color="auto" w:fill="FAFAFA"/>
                              <w:vAlign w:val="center"/>
                              <w:hideMark/>
                            </w:tcPr>
                            <w:p w:rsidR="0009091B" w:rsidRDefault="0009091B">
                              <w:pPr>
                                <w:rPr>
                                  <w:rFonts w:eastAsia="Times New Roman"/>
                                </w:rPr>
                              </w:pPr>
                              <w:r>
                                <w:rPr>
                                  <w:rFonts w:eastAsia="Times New Roman"/>
                                  <w:noProof/>
                                </w:rPr>
                                <w:drawing>
                                  <wp:inline distT="0" distB="0" distL="0" distR="0">
                                    <wp:extent cx="6350" cy="6350"/>
                                    <wp:effectExtent l="0" t="0" r="0" b="0"/>
                                    <wp:docPr id="3" name="Picture 3" descr="https://www.informz.net/admin31/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formz.net/admin31/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09091B" w:rsidRDefault="0009091B">
                        <w:pPr>
                          <w:rPr>
                            <w:rFonts w:eastAsia="Times New Roman"/>
                            <w:sz w:val="20"/>
                            <w:szCs w:val="20"/>
                          </w:rPr>
                        </w:pPr>
                      </w:p>
                    </w:tc>
                  </w:tr>
                </w:tbl>
                <w:p w:rsidR="0009091B" w:rsidRDefault="0009091B">
                  <w:pPr>
                    <w:jc w:val="center"/>
                    <w:rPr>
                      <w:rFonts w:eastAsia="Times New Roman"/>
                      <w:sz w:val="20"/>
                      <w:szCs w:val="20"/>
                    </w:rPr>
                  </w:pPr>
                </w:p>
              </w:tc>
            </w:tr>
          </w:tbl>
          <w:p w:rsidR="0009091B" w:rsidRDefault="0009091B">
            <w:pPr>
              <w:rPr>
                <w:rFonts w:eastAsia="Times New Roman"/>
                <w:sz w:val="20"/>
                <w:szCs w:val="20"/>
              </w:rPr>
            </w:pPr>
          </w:p>
        </w:tc>
      </w:tr>
    </w:tbl>
    <w:p w:rsidR="0009091B" w:rsidRDefault="0009091B" w:rsidP="0009091B">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09091B" w:rsidTr="0009091B">
        <w:tc>
          <w:tcPr>
            <w:tcW w:w="0" w:type="auto"/>
            <w:vAlign w:val="center"/>
            <w:hideMark/>
          </w:tcPr>
          <w:tbl>
            <w:tblPr>
              <w:tblpPr w:vertAnchor="text"/>
              <w:tblW w:w="5000" w:type="pct"/>
              <w:shd w:val="clear" w:color="auto" w:fill="EDEDED"/>
              <w:tblCellMar>
                <w:left w:w="0" w:type="dxa"/>
                <w:right w:w="0" w:type="dxa"/>
              </w:tblCellMar>
              <w:tblLook w:val="04A0" w:firstRow="1" w:lastRow="0" w:firstColumn="1" w:lastColumn="0" w:noHBand="0" w:noVBand="1"/>
            </w:tblPr>
            <w:tblGrid>
              <w:gridCol w:w="9360"/>
            </w:tblGrid>
            <w:tr w:rsidR="0009091B">
              <w:tc>
                <w:tcPr>
                  <w:tcW w:w="0" w:type="auto"/>
                  <w:shd w:val="clear" w:color="auto" w:fill="EDEDED"/>
                  <w:vAlign w:val="center"/>
                  <w:hideMark/>
                </w:tcPr>
                <w:tbl>
                  <w:tblPr>
                    <w:tblW w:w="9750" w:type="dxa"/>
                    <w:jc w:val="center"/>
                    <w:shd w:val="clear" w:color="auto" w:fill="FAFAFA"/>
                    <w:tblCellMar>
                      <w:left w:w="0" w:type="dxa"/>
                      <w:right w:w="0" w:type="dxa"/>
                    </w:tblCellMar>
                    <w:tblLook w:val="04A0" w:firstRow="1" w:lastRow="0" w:firstColumn="1" w:lastColumn="0" w:noHBand="0" w:noVBand="1"/>
                  </w:tblPr>
                  <w:tblGrid>
                    <w:gridCol w:w="9750"/>
                  </w:tblGrid>
                  <w:tr w:rsidR="0009091B">
                    <w:trPr>
                      <w:jc w:val="center"/>
                    </w:trPr>
                    <w:tc>
                      <w:tcPr>
                        <w:tcW w:w="0" w:type="auto"/>
                        <w:shd w:val="clear" w:color="auto" w:fill="FAFAFA"/>
                        <w:vAlign w:val="center"/>
                        <w:hideMark/>
                      </w:tcPr>
                      <w:tbl>
                        <w:tblPr>
                          <w:tblW w:w="5000" w:type="pct"/>
                          <w:shd w:val="clear" w:color="auto" w:fill="FAFAFA"/>
                          <w:tblCellMar>
                            <w:left w:w="0" w:type="dxa"/>
                            <w:right w:w="0" w:type="dxa"/>
                          </w:tblCellMar>
                          <w:tblLook w:val="04A0" w:firstRow="1" w:lastRow="0" w:firstColumn="1" w:lastColumn="0" w:noHBand="0" w:noVBand="1"/>
                        </w:tblPr>
                        <w:tblGrid>
                          <w:gridCol w:w="150"/>
                          <w:gridCol w:w="9450"/>
                          <w:gridCol w:w="150"/>
                        </w:tblGrid>
                        <w:tr w:rsidR="0009091B">
                          <w:tc>
                            <w:tcPr>
                              <w:tcW w:w="150" w:type="dxa"/>
                              <w:shd w:val="clear" w:color="auto" w:fill="FAFAFA"/>
                              <w:vAlign w:val="center"/>
                              <w:hideMark/>
                            </w:tcPr>
                            <w:p w:rsidR="0009091B" w:rsidRDefault="0009091B">
                              <w:pPr>
                                <w:rPr>
                                  <w:rFonts w:eastAsia="Times New Roman"/>
                                </w:rPr>
                              </w:pPr>
                              <w:r>
                                <w:rPr>
                                  <w:rFonts w:eastAsia="Times New Roman"/>
                                  <w:noProof/>
                                </w:rPr>
                                <w:drawing>
                                  <wp:inline distT="0" distB="0" distL="0" distR="0">
                                    <wp:extent cx="6350" cy="6350"/>
                                    <wp:effectExtent l="0" t="0" r="0" b="0"/>
                                    <wp:docPr id="2" name="Picture 2" descr="https://www.informz.net/admin31/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formz.net/admin31/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shd w:val="clear" w:color="auto" w:fill="FAFAFA"/>
                              <w:vAlign w:val="center"/>
                              <w:hideMark/>
                            </w:tcPr>
                            <w:tbl>
                              <w:tblPr>
                                <w:tblW w:w="5000" w:type="pct"/>
                                <w:shd w:val="clear" w:color="auto" w:fill="FAFAFA"/>
                                <w:tblCellMar>
                                  <w:left w:w="0" w:type="dxa"/>
                                  <w:right w:w="0" w:type="dxa"/>
                                </w:tblCellMar>
                                <w:tblLook w:val="04A0" w:firstRow="1" w:lastRow="0" w:firstColumn="1" w:lastColumn="0" w:noHBand="0" w:noVBand="1"/>
                              </w:tblPr>
                              <w:tblGrid>
                                <w:gridCol w:w="9450"/>
                              </w:tblGrid>
                              <w:tr w:rsidR="0009091B">
                                <w:tc>
                                  <w:tcPr>
                                    <w:tcW w:w="0" w:type="auto"/>
                                    <w:shd w:val="clear" w:color="auto" w:fill="FAFAFA"/>
                                    <w:tcMar>
                                      <w:top w:w="300" w:type="dxa"/>
                                      <w:left w:w="300" w:type="dxa"/>
                                      <w:bottom w:w="300" w:type="dxa"/>
                                      <w:right w:w="300" w:type="dxa"/>
                                    </w:tcMar>
                                    <w:vAlign w:val="center"/>
                                  </w:tcPr>
                                  <w:tbl>
                                    <w:tblPr>
                                      <w:tblW w:w="5000" w:type="pct"/>
                                      <w:shd w:val="clear" w:color="auto" w:fill="FAFAFA"/>
                                      <w:tblCellMar>
                                        <w:left w:w="0" w:type="dxa"/>
                                        <w:right w:w="0" w:type="dxa"/>
                                      </w:tblCellMar>
                                      <w:tblLook w:val="04A0" w:firstRow="1" w:lastRow="0" w:firstColumn="1" w:lastColumn="0" w:noHBand="0" w:noVBand="1"/>
                                    </w:tblPr>
                                    <w:tblGrid>
                                      <w:gridCol w:w="8850"/>
                                    </w:tblGrid>
                                    <w:tr w:rsidR="0009091B">
                                      <w:tc>
                                        <w:tcPr>
                                          <w:tcW w:w="0" w:type="auto"/>
                                          <w:shd w:val="clear" w:color="auto" w:fill="FAFAFA"/>
                                          <w:vAlign w:val="center"/>
                                          <w:hideMark/>
                                        </w:tcPr>
                                        <w:tbl>
                                          <w:tblPr>
                                            <w:tblW w:w="5000" w:type="pct"/>
                                            <w:shd w:val="clear" w:color="auto" w:fill="FAFAFA"/>
                                            <w:tblCellMar>
                                              <w:left w:w="0" w:type="dxa"/>
                                              <w:right w:w="0" w:type="dxa"/>
                                            </w:tblCellMar>
                                            <w:tblLook w:val="04A0" w:firstRow="1" w:lastRow="0" w:firstColumn="1" w:lastColumn="0" w:noHBand="0" w:noVBand="1"/>
                                          </w:tblPr>
                                          <w:tblGrid>
                                            <w:gridCol w:w="8850"/>
                                          </w:tblGrid>
                                          <w:tr w:rsidR="0009091B">
                                            <w:tc>
                                              <w:tcPr>
                                                <w:tcW w:w="0" w:type="auto"/>
                                                <w:shd w:val="clear" w:color="auto" w:fill="FAFAFA"/>
                                                <w:vAlign w:val="center"/>
                                                <w:hideMark/>
                                              </w:tcPr>
                                              <w:p w:rsidR="0009091B" w:rsidRDefault="0009091B">
                                                <w:pPr>
                                                  <w:rPr>
                                                    <w:rFonts w:eastAsia="Times New Roman"/>
                                                    <w:sz w:val="20"/>
                                                    <w:szCs w:val="20"/>
                                                  </w:rPr>
                                                </w:pPr>
                                              </w:p>
                                            </w:tc>
                                          </w:tr>
                                        </w:tbl>
                                        <w:p w:rsidR="0009091B" w:rsidRDefault="0009091B">
                                          <w:pPr>
                                            <w:rPr>
                                              <w:rFonts w:eastAsia="Times New Roman"/>
                                              <w:sz w:val="20"/>
                                              <w:szCs w:val="20"/>
                                            </w:rPr>
                                          </w:pPr>
                                        </w:p>
                                      </w:tc>
                                    </w:tr>
                                  </w:tbl>
                                  <w:p w:rsidR="0009091B" w:rsidRDefault="0009091B">
                                    <w:pPr>
                                      <w:rPr>
                                        <w:rFonts w:eastAsia="Times New Roman"/>
                                        <w:vanish/>
                                      </w:rPr>
                                    </w:pPr>
                                  </w:p>
                                  <w:tbl>
                                    <w:tblPr>
                                      <w:tblW w:w="5000" w:type="pct"/>
                                      <w:shd w:val="clear" w:color="auto" w:fill="FAFAFA"/>
                                      <w:tblCellMar>
                                        <w:left w:w="0" w:type="dxa"/>
                                        <w:right w:w="0" w:type="dxa"/>
                                      </w:tblCellMar>
                                      <w:tblLook w:val="04A0" w:firstRow="1" w:lastRow="0" w:firstColumn="1" w:lastColumn="0" w:noHBand="0" w:noVBand="1"/>
                                    </w:tblPr>
                                    <w:tblGrid>
                                      <w:gridCol w:w="8850"/>
                                    </w:tblGrid>
                                    <w:tr w:rsidR="0009091B">
                                      <w:tc>
                                        <w:tcPr>
                                          <w:tcW w:w="0" w:type="auto"/>
                                          <w:shd w:val="clear" w:color="auto" w:fill="FAFAFA"/>
                                          <w:vAlign w:val="center"/>
                                          <w:hideMark/>
                                        </w:tcPr>
                                        <w:tbl>
                                          <w:tblPr>
                                            <w:tblW w:w="5000" w:type="pct"/>
                                            <w:tblCellMar>
                                              <w:left w:w="0" w:type="dxa"/>
                                              <w:right w:w="0" w:type="dxa"/>
                                            </w:tblCellMar>
                                            <w:tblLook w:val="04A0" w:firstRow="1" w:lastRow="0" w:firstColumn="1" w:lastColumn="0" w:noHBand="0" w:noVBand="1"/>
                                          </w:tblPr>
                                          <w:tblGrid>
                                            <w:gridCol w:w="8850"/>
                                          </w:tblGrid>
                                          <w:tr w:rsidR="0009091B">
                                            <w:tc>
                                              <w:tcPr>
                                                <w:tcW w:w="0" w:type="auto"/>
                                                <w:shd w:val="clear" w:color="auto" w:fill="FAFAFA"/>
                                                <w:vAlign w:val="center"/>
                                                <w:hideMark/>
                                              </w:tcPr>
                                              <w:p w:rsidR="0009091B" w:rsidRDefault="0009091B">
                                                <w:pPr>
                                                  <w:pStyle w:val="Heading1"/>
                                                  <w:spacing w:before="0" w:beforeAutospacing="0" w:after="0" w:afterAutospacing="0" w:line="473" w:lineRule="atLeast"/>
                                                  <w:jc w:val="center"/>
                                                  <w:rPr>
                                                    <w:rFonts w:ascii="Arial" w:eastAsia="Times New Roman" w:hAnsi="Arial" w:cs="Arial"/>
                                                    <w:b w:val="0"/>
                                                    <w:bCs w:val="0"/>
                                                    <w:color w:val="333333"/>
                                                    <w:sz w:val="32"/>
                                                    <w:szCs w:val="32"/>
                                                  </w:rPr>
                                                </w:pPr>
                                                <w:r>
                                                  <w:rPr>
                                                    <w:rStyle w:val="Strong"/>
                                                    <w:rFonts w:ascii="Arial" w:eastAsia="Times New Roman" w:hAnsi="Arial" w:cs="Arial"/>
                                                    <w:b/>
                                                    <w:bCs/>
                                                    <w:color w:val="333333"/>
                                                    <w:sz w:val="32"/>
                                                    <w:szCs w:val="32"/>
                                                  </w:rPr>
                                                  <w:t>Environmental Bond Bills Go to Conference Committee</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  </w:t>
                                                </w:r>
                                              </w:p>
                                              <w:p w:rsidR="0009091B" w:rsidRDefault="0009091B">
                                                <w:pPr>
                                                  <w:pStyle w:val="paragraph-one"/>
                                                  <w:spacing w:before="0" w:beforeAutospacing="0" w:after="0" w:afterAutospacing="0" w:line="383" w:lineRule="atLeast"/>
                                                  <w:jc w:val="center"/>
                                                  <w:rPr>
                                                    <w:rFonts w:ascii="Arial" w:hAnsi="Arial" w:cs="Arial"/>
                                                    <w:color w:val="333333"/>
                                                    <w:sz w:val="26"/>
                                                    <w:szCs w:val="26"/>
                                                  </w:rPr>
                                                </w:pPr>
                                                <w:r>
                                                  <w:rPr>
                                                    <w:rStyle w:val="Strong"/>
                                                    <w:rFonts w:ascii="Arial" w:hAnsi="Arial" w:cs="Arial"/>
                                                    <w:color w:val="333333"/>
                                                    <w:sz w:val="26"/>
                                                    <w:szCs w:val="26"/>
                                                  </w:rPr>
                                                  <w:t>Legislation Would Provide Funding for Environmental and Climate Resiliency Programs</w:t>
                                                </w:r>
                                              </w:p>
                                              <w:p w:rsidR="0009091B" w:rsidRDefault="0009091B">
                                                <w:pPr>
                                                  <w:pStyle w:val="paragraph-one"/>
                                                  <w:spacing w:before="0" w:beforeAutospacing="0" w:after="0" w:afterAutospacing="0" w:line="360" w:lineRule="atLeast"/>
                                                  <w:jc w:val="center"/>
                                                  <w:rPr>
                                                    <w:rFonts w:ascii="Arial" w:hAnsi="Arial" w:cs="Arial"/>
                                                    <w:color w:val="333333"/>
                                                  </w:rPr>
                                                </w:pPr>
                                                <w:r>
                                                  <w:rPr>
                                                    <w:rFonts w:ascii="Arial" w:hAnsi="Arial" w:cs="Arial"/>
                                                    <w:color w:val="333333"/>
                                                  </w:rPr>
                                                  <w:t xml:space="preserve">  </w:t>
                                                </w:r>
                                              </w:p>
                                              <w:p w:rsidR="0009091B" w:rsidRDefault="0009091B">
                                                <w:pPr>
                                                  <w:pStyle w:val="paragraph-one"/>
                                                  <w:spacing w:before="0" w:beforeAutospacing="0" w:after="0" w:afterAutospacing="0" w:line="338" w:lineRule="atLeast"/>
                                                  <w:jc w:val="center"/>
                                                  <w:rPr>
                                                    <w:rFonts w:ascii="Arial" w:hAnsi="Arial" w:cs="Arial"/>
                                                    <w:color w:val="333333"/>
                                                    <w:sz w:val="23"/>
                                                    <w:szCs w:val="23"/>
                                                  </w:rPr>
                                                </w:pPr>
                                                <w:r>
                                                  <w:rPr>
                                                    <w:rStyle w:val="Strong"/>
                                                    <w:rFonts w:ascii="Arial" w:hAnsi="Arial" w:cs="Arial"/>
                                                    <w:color w:val="333333"/>
                                                    <w:sz w:val="23"/>
                                                    <w:szCs w:val="23"/>
                                                  </w:rPr>
                                                  <w:t>Please Call Your Legislators to Oppose New Unfunded Solid Waste Mandates on Cities and Towns, and Preserve Flexibility on Local Land Use Transfers</w:t>
                                                </w:r>
                                              </w:p>
                                              <w:p w:rsidR="0009091B" w:rsidRDefault="0009091B">
                                                <w:pPr>
                                                  <w:pStyle w:val="paragraph-one"/>
                                                  <w:spacing w:before="0" w:beforeAutospacing="0" w:after="0" w:afterAutospacing="0" w:line="315" w:lineRule="atLeast"/>
                                                  <w:jc w:val="center"/>
                                                  <w:rPr>
                                                    <w:rFonts w:ascii="Arial" w:hAnsi="Arial" w:cs="Arial"/>
                                                    <w:color w:val="333333"/>
                                                    <w:sz w:val="21"/>
                                                    <w:szCs w:val="21"/>
                                                  </w:rPr>
                                                </w:pPr>
                                                <w:r>
                                                  <w:rPr>
                                                    <w:rFonts w:ascii="Arial" w:hAnsi="Arial" w:cs="Arial"/>
                                                    <w:color w:val="333333"/>
                                                    <w:sz w:val="21"/>
                                                    <w:szCs w:val="21"/>
                                                  </w:rPr>
                                                  <w:t xml:space="preserve">  </w:t>
                                                </w:r>
                                              </w:p>
                                              <w:p w:rsidR="0009091B" w:rsidRDefault="0009091B">
                                                <w:pPr>
                                                  <w:pStyle w:val="paragraph-one"/>
                                                  <w:spacing w:before="0" w:beforeAutospacing="0" w:after="0" w:afterAutospacing="0" w:line="293" w:lineRule="atLeast"/>
                                                  <w:rPr>
                                                    <w:rFonts w:ascii="Arial" w:hAnsi="Arial" w:cs="Arial"/>
                                                    <w:color w:val="333333"/>
                                                    <w:sz w:val="20"/>
                                                    <w:szCs w:val="20"/>
                                                  </w:rPr>
                                                </w:pPr>
                                                <w:r>
                                                  <w:rPr>
                                                    <w:rStyle w:val="inline-color"/>
                                                    <w:rFonts w:ascii="Arial" w:hAnsi="Arial" w:cs="Arial"/>
                                                    <w:color w:val="000000"/>
                                                    <w:sz w:val="20"/>
                                                    <w:szCs w:val="20"/>
                                                  </w:rPr>
                                                  <w:t>July 19, 2018</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  </w:t>
                                                </w:r>
                                              </w:p>
                                              <w:p w:rsidR="0009091B" w:rsidRDefault="0009091B">
                                                <w:pPr>
                                                  <w:pStyle w:val="paragraph-one"/>
                                                  <w:spacing w:before="0" w:beforeAutospacing="0" w:after="0" w:afterAutospacing="0" w:line="293" w:lineRule="atLeast"/>
                                                  <w:rPr>
                                                    <w:rFonts w:ascii="Arial" w:hAnsi="Arial" w:cs="Arial"/>
                                                    <w:color w:val="333333"/>
                                                    <w:sz w:val="20"/>
                                                    <w:szCs w:val="20"/>
                                                  </w:rPr>
                                                </w:pPr>
                                                <w:r>
                                                  <w:rPr>
                                                    <w:rStyle w:val="inline-color"/>
                                                    <w:rFonts w:ascii="Arial" w:hAnsi="Arial" w:cs="Arial"/>
                                                    <w:color w:val="000000"/>
                                                    <w:sz w:val="20"/>
                                                    <w:szCs w:val="20"/>
                                                  </w:rPr>
                                                  <w:t xml:space="preserve">Dear </w:t>
                                                </w:r>
                                                <w:r>
                                                  <w:rPr>
                                                    <w:rStyle w:val="inline-color"/>
                                                    <w:rFonts w:ascii="Arial" w:hAnsi="Arial" w:cs="Arial"/>
                                                    <w:color w:val="000000"/>
                                                    <w:sz w:val="20"/>
                                                    <w:szCs w:val="20"/>
                                                  </w:rPr>
                                                  <w:t>Chilmark Selectmen</w:t>
                                                </w:r>
                                                <w:bookmarkStart w:id="0" w:name="_GoBack"/>
                                                <w:bookmarkEnd w:id="0"/>
                                                <w:r>
                                                  <w:rPr>
                                                    <w:rStyle w:val="inline-color"/>
                                                    <w:rFonts w:ascii="Arial" w:hAnsi="Arial" w:cs="Arial"/>
                                                    <w:color w:val="000000"/>
                                                    <w:sz w:val="20"/>
                                                    <w:szCs w:val="20"/>
                                                  </w:rPr>
                                                  <w:t>,</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  </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As the formal legislative session is coming to a close, the House and Senate have both passed Environmental Bond bills that would provide over $2 billion in capital investments, fund environmental programs, and increase resilience in our cities and towns and the Commonwealth. A conference committee is now tasked with negotiating a final bill before the end of the formal legislative session on July 31. </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  </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This legislation provides funding for the Municipal Vulnerability Preparedness program, the Massachusetts Electric Vehicle Incentive Program, the Complete Streets Program, the Clean Water Trust and other important environmental programs that benefit cities and towns by investing in our infrastructure and improving air and water quality. </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  </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However, several policy changes in the legislation would negatively impact cities and towns. Please call your legislators to weigh in on the following sections:</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  </w:t>
                                                </w:r>
                                              </w:p>
                                              <w:p w:rsidR="0009091B" w:rsidRDefault="0009091B">
                                                <w:pPr>
                                                  <w:pStyle w:val="paragraph-one"/>
                                                  <w:spacing w:before="0" w:beforeAutospacing="0" w:after="0" w:afterAutospacing="0" w:line="293" w:lineRule="atLeast"/>
                                                  <w:rPr>
                                                    <w:rFonts w:ascii="Arial" w:hAnsi="Arial" w:cs="Arial"/>
                                                    <w:color w:val="333333"/>
                                                    <w:sz w:val="20"/>
                                                    <w:szCs w:val="20"/>
                                                  </w:rPr>
                                                </w:pPr>
                                                <w:r>
                                                  <w:rPr>
                                                    <w:rStyle w:val="Strong"/>
                                                    <w:rFonts w:ascii="Arial" w:hAnsi="Arial" w:cs="Arial"/>
                                                    <w:color w:val="333333"/>
                                                    <w:sz w:val="20"/>
                                                    <w:szCs w:val="20"/>
                                                  </w:rPr>
                                                  <w:t>Please urge your legislators to oppose solid waste mandates on communities and taxpayers</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A provision in the Senate bill (Section 101 of S. 2602) would impose costly new unfunded mandates on cities and towns, requiring communities to meet aggressive waste reduction targets. In addition to the unaffordability of this provision, the proposal would increase the administrative burden on municipalities through new requirements. This language would direct the Department of Environmental Protection to establish performance standards for the reduction of municipal solid waste and would require municipalities to report information on solid waste disposal annually.</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lastRenderedPageBreak/>
                                                  <w:t xml:space="preserve">  </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u w:val="single"/>
                                                  </w:rPr>
                                                  <w:t>Please call on your legislators to oppose this unfunded mandate.</w:t>
                                                </w:r>
                                                <w:r>
                                                  <w:rPr>
                                                    <w:rFonts w:ascii="Arial" w:hAnsi="Arial" w:cs="Arial"/>
                                                    <w:color w:val="333333"/>
                                                    <w:sz w:val="20"/>
                                                    <w:szCs w:val="20"/>
                                                  </w:rPr>
                                                  <w:t xml:space="preserve"> Cities and towns are currently facing significantly increased recycling costs, due to a policy change in China and other shifts in global and regional recycling markets. Rather than legislation that imposes unfunded mandates on municipalities and their taxpayers, the MMA supports additional study to examine municipal solid waste and recycling operations and the impact of the changing markets, so that we can have a common local-state partnership in addressing the rising cost of recycling and solid waste management. </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  </w:t>
                                                </w:r>
                                              </w:p>
                                              <w:p w:rsidR="0009091B" w:rsidRDefault="0009091B">
                                                <w:pPr>
                                                  <w:pStyle w:val="paragraph-one"/>
                                                  <w:spacing w:before="0" w:beforeAutospacing="0" w:after="0" w:afterAutospacing="0" w:line="293" w:lineRule="atLeast"/>
                                                  <w:rPr>
                                                    <w:rFonts w:ascii="Arial" w:hAnsi="Arial" w:cs="Arial"/>
                                                    <w:color w:val="333333"/>
                                                    <w:sz w:val="20"/>
                                                    <w:szCs w:val="20"/>
                                                  </w:rPr>
                                                </w:pPr>
                                                <w:r>
                                                  <w:rPr>
                                                    <w:rStyle w:val="Strong"/>
                                                    <w:rFonts w:ascii="Arial" w:hAnsi="Arial" w:cs="Arial"/>
                                                    <w:color w:val="333333"/>
                                                    <w:sz w:val="20"/>
                                                    <w:szCs w:val="20"/>
                                                  </w:rPr>
                                                  <w:t>Please urge your legislators to oppose implementing statutory restrictions on local land use transfers</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The MMA opposes a provision in the Senate legislation (Section 71 of S. 2602), which would codify a specific process for Article 97 land use transfers, sometimes known as the Public Lands Preservation Act. This proposed PLPA language would place in statute a legal requirement that municipalities proposing a disposition or change in use of Article 97 natural resource land must mitigate the loss by providing comparable replacement land, resulting in no net loss in protected land, and undergo a process with the Executive Office of Energy and Environmental Affairs that would include a feasible alternatives study and a review of the replacement land.</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  </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There is already a process in place for local land use transfers that works well and allows for flexibility, established by a 1997 amendment to the state’s constitution. Rather than imposing strict and one-size-fits-all language, a better alternative would be a collaborative review of the existing Article 97 Land Disposition Policy with the goal of clarifying the process for municipalities to follow when submitting proposals for Article 97 land dispositions. The MMA feels that the best solution is to update and clarify the current policy, rather than making statutory changes. </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  </w:t>
                                                </w:r>
                                              </w:p>
                                              <w:p w:rsidR="0009091B" w:rsidRDefault="0009091B">
                                                <w:pPr>
                                                  <w:pStyle w:val="paragraph-one"/>
                                                  <w:spacing w:before="0" w:beforeAutospacing="0" w:after="0" w:afterAutospacing="0" w:line="293" w:lineRule="atLeast"/>
                                                  <w:jc w:val="center"/>
                                                  <w:rPr>
                                                    <w:rFonts w:ascii="Arial" w:hAnsi="Arial" w:cs="Arial"/>
                                                    <w:color w:val="333333"/>
                                                    <w:sz w:val="20"/>
                                                    <w:szCs w:val="20"/>
                                                  </w:rPr>
                                                </w:pPr>
                                                <w:hyperlink r:id="rId7" w:tgtFrame="_blank" w:history="1">
                                                  <w:r>
                                                    <w:rPr>
                                                      <w:rStyle w:val="Strong"/>
                                                      <w:rFonts w:ascii="Arial" w:hAnsi="Arial" w:cs="Arial"/>
                                                      <w:b w:val="0"/>
                                                      <w:bCs w:val="0"/>
                                                      <w:color w:val="1806CC"/>
                                                      <w:sz w:val="20"/>
                                                      <w:szCs w:val="20"/>
                                                    </w:rPr>
                                                    <w:t>Click here to view MMA’s letter to the conference committee.</w:t>
                                                  </w:r>
                                                </w:hyperlink>
                                              </w:p>
                                              <w:p w:rsidR="0009091B" w:rsidRDefault="0009091B">
                                                <w:pPr>
                                                  <w:pStyle w:val="paragraph-one"/>
                                                  <w:spacing w:before="0" w:beforeAutospacing="0" w:after="0" w:afterAutospacing="0" w:line="293" w:lineRule="atLeast"/>
                                                  <w:jc w:val="center"/>
                                                  <w:rPr>
                                                    <w:rFonts w:ascii="Arial" w:hAnsi="Arial" w:cs="Arial"/>
                                                    <w:color w:val="333333"/>
                                                    <w:sz w:val="20"/>
                                                    <w:szCs w:val="20"/>
                                                  </w:rPr>
                                                </w:pPr>
                                                <w:r>
                                                  <w:rPr>
                                                    <w:rFonts w:ascii="Arial" w:hAnsi="Arial" w:cs="Arial"/>
                                                    <w:color w:val="333333"/>
                                                    <w:sz w:val="20"/>
                                                    <w:szCs w:val="20"/>
                                                  </w:rPr>
                                                  <w:t xml:space="preserve">  </w:t>
                                                </w:r>
                                              </w:p>
                                              <w:p w:rsidR="0009091B" w:rsidRDefault="0009091B">
                                                <w:pPr>
                                                  <w:pStyle w:val="paragraph-one"/>
                                                  <w:spacing w:before="0" w:beforeAutospacing="0" w:after="0" w:afterAutospacing="0" w:line="315" w:lineRule="atLeast"/>
                                                  <w:jc w:val="center"/>
                                                  <w:rPr>
                                                    <w:rFonts w:ascii="Arial" w:hAnsi="Arial" w:cs="Arial"/>
                                                    <w:color w:val="333333"/>
                                                    <w:sz w:val="21"/>
                                                    <w:szCs w:val="21"/>
                                                  </w:rPr>
                                                </w:pPr>
                                                <w:r>
                                                  <w:rPr>
                                                    <w:rStyle w:val="Strong"/>
                                                    <w:rFonts w:ascii="Arial" w:hAnsi="Arial" w:cs="Arial"/>
                                                    <w:color w:val="333333"/>
                                                    <w:sz w:val="21"/>
                                                    <w:szCs w:val="21"/>
                                                  </w:rPr>
                                                  <w:t>Please call your legislators and ask them to oppose policy changes in the Environmental Bond Bill that would negatively impact cities and towns.</w:t>
                                                </w:r>
                                              </w:p>
                                              <w:p w:rsidR="0009091B" w:rsidRDefault="0009091B">
                                                <w:pPr>
                                                  <w:pStyle w:val="paragraph-one"/>
                                                  <w:spacing w:before="0" w:beforeAutospacing="0" w:after="0" w:afterAutospacing="0" w:line="293" w:lineRule="atLeast"/>
                                                  <w:jc w:val="center"/>
                                                  <w:rPr>
                                                    <w:rFonts w:ascii="Arial" w:hAnsi="Arial" w:cs="Arial"/>
                                                    <w:color w:val="333333"/>
                                                    <w:sz w:val="20"/>
                                                    <w:szCs w:val="20"/>
                                                  </w:rPr>
                                                </w:pPr>
                                                <w:r>
                                                  <w:rPr>
                                                    <w:rFonts w:ascii="Arial" w:hAnsi="Arial" w:cs="Arial"/>
                                                    <w:color w:val="333333"/>
                                                    <w:sz w:val="20"/>
                                                    <w:szCs w:val="20"/>
                                                  </w:rPr>
                                                  <w:t xml:space="preserve">  </w:t>
                                                </w:r>
                                              </w:p>
                                              <w:p w:rsidR="0009091B" w:rsidRDefault="0009091B">
                                                <w:pPr>
                                                  <w:pStyle w:val="paragraph-one"/>
                                                  <w:spacing w:before="0" w:beforeAutospacing="0" w:after="0" w:afterAutospacing="0" w:line="338" w:lineRule="atLeast"/>
                                                  <w:jc w:val="center"/>
                                                  <w:rPr>
                                                    <w:rFonts w:ascii="Arial" w:hAnsi="Arial" w:cs="Arial"/>
                                                    <w:color w:val="333333"/>
                                                    <w:sz w:val="23"/>
                                                    <w:szCs w:val="23"/>
                                                  </w:rPr>
                                                </w:pPr>
                                                <w:r>
                                                  <w:rPr>
                                                    <w:rStyle w:val="Strong"/>
                                                    <w:rFonts w:ascii="Arial" w:hAnsi="Arial" w:cs="Arial"/>
                                                    <w:color w:val="333333"/>
                                                    <w:sz w:val="23"/>
                                                    <w:szCs w:val="23"/>
                                                  </w:rPr>
                                                  <w:t>Thank You!</w:t>
                                                </w:r>
                                              </w:p>
                                              <w:p w:rsidR="0009091B" w:rsidRDefault="0009091B">
                                                <w:pPr>
                                                  <w:pStyle w:val="paragraph-one"/>
                                                  <w:spacing w:before="0" w:beforeAutospacing="0" w:after="0" w:afterAutospacing="0" w:line="293" w:lineRule="atLeast"/>
                                                  <w:rPr>
                                                    <w:rFonts w:ascii="Arial" w:hAnsi="Arial" w:cs="Arial"/>
                                                    <w:color w:val="333333"/>
                                                    <w:sz w:val="20"/>
                                                    <w:szCs w:val="20"/>
                                                  </w:rPr>
                                                </w:pPr>
                                                <w:r>
                                                  <w:rPr>
                                                    <w:rFonts w:ascii="Arial" w:hAnsi="Arial" w:cs="Arial"/>
                                                    <w:color w:val="333333"/>
                                                    <w:sz w:val="20"/>
                                                    <w:szCs w:val="20"/>
                                                  </w:rPr>
                                                  <w:t xml:space="preserve">  </w:t>
                                                </w:r>
                                              </w:p>
                                            </w:tc>
                                          </w:tr>
                                        </w:tbl>
                                        <w:p w:rsidR="0009091B" w:rsidRDefault="0009091B">
                                          <w:pPr>
                                            <w:rPr>
                                              <w:rFonts w:eastAsia="Times New Roman"/>
                                              <w:sz w:val="20"/>
                                              <w:szCs w:val="20"/>
                                            </w:rPr>
                                          </w:pPr>
                                        </w:p>
                                      </w:tc>
                                    </w:tr>
                                  </w:tbl>
                                  <w:p w:rsidR="0009091B" w:rsidRDefault="0009091B">
                                    <w:pPr>
                                      <w:rPr>
                                        <w:rFonts w:eastAsia="Times New Roman"/>
                                        <w:sz w:val="20"/>
                                        <w:szCs w:val="20"/>
                                      </w:rPr>
                                    </w:pPr>
                                  </w:p>
                                </w:tc>
                              </w:tr>
                            </w:tbl>
                            <w:p w:rsidR="0009091B" w:rsidRDefault="0009091B">
                              <w:pPr>
                                <w:rPr>
                                  <w:rFonts w:eastAsia="Times New Roman"/>
                                  <w:sz w:val="20"/>
                                  <w:szCs w:val="20"/>
                                </w:rPr>
                              </w:pPr>
                            </w:p>
                          </w:tc>
                          <w:tc>
                            <w:tcPr>
                              <w:tcW w:w="150" w:type="dxa"/>
                              <w:shd w:val="clear" w:color="auto" w:fill="FAFAFA"/>
                              <w:vAlign w:val="center"/>
                              <w:hideMark/>
                            </w:tcPr>
                            <w:p w:rsidR="0009091B" w:rsidRDefault="0009091B">
                              <w:pPr>
                                <w:rPr>
                                  <w:rFonts w:eastAsia="Times New Roman"/>
                                </w:rPr>
                              </w:pPr>
                              <w:r>
                                <w:rPr>
                                  <w:rFonts w:eastAsia="Times New Roman"/>
                                  <w:noProof/>
                                </w:rPr>
                                <w:lastRenderedPageBreak/>
                                <w:drawing>
                                  <wp:inline distT="0" distB="0" distL="0" distR="0">
                                    <wp:extent cx="6350" cy="6350"/>
                                    <wp:effectExtent l="0" t="0" r="0" b="0"/>
                                    <wp:docPr id="1" name="Picture 1" descr="https://www.informz.net/admin31/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nformz.net/admin31/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09091B" w:rsidRDefault="0009091B">
                        <w:pPr>
                          <w:rPr>
                            <w:rFonts w:eastAsia="Times New Roman"/>
                            <w:sz w:val="20"/>
                            <w:szCs w:val="20"/>
                          </w:rPr>
                        </w:pPr>
                      </w:p>
                    </w:tc>
                  </w:tr>
                </w:tbl>
                <w:p w:rsidR="0009091B" w:rsidRDefault="0009091B">
                  <w:pPr>
                    <w:jc w:val="center"/>
                    <w:rPr>
                      <w:rFonts w:eastAsia="Times New Roman"/>
                      <w:sz w:val="20"/>
                      <w:szCs w:val="20"/>
                    </w:rPr>
                  </w:pPr>
                </w:p>
              </w:tc>
            </w:tr>
          </w:tbl>
          <w:p w:rsidR="0009091B" w:rsidRDefault="0009091B">
            <w:pPr>
              <w:rPr>
                <w:rFonts w:eastAsia="Times New Roman"/>
                <w:sz w:val="20"/>
                <w:szCs w:val="20"/>
              </w:rPr>
            </w:pPr>
          </w:p>
        </w:tc>
      </w:tr>
    </w:tbl>
    <w:p w:rsidR="003716C9" w:rsidRDefault="003716C9"/>
    <w:sectPr w:rsidR="00371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1B"/>
    <w:rsid w:val="0009091B"/>
    <w:rsid w:val="0037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91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09091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91B"/>
    <w:rPr>
      <w:rFonts w:ascii="Times New Roman" w:hAnsi="Times New Roman" w:cs="Times New Roman"/>
      <w:b/>
      <w:bCs/>
      <w:kern w:val="36"/>
      <w:sz w:val="48"/>
      <w:szCs w:val="48"/>
    </w:rPr>
  </w:style>
  <w:style w:type="paragraph" w:customStyle="1" w:styleId="paragraph-one">
    <w:name w:val="paragraph-one"/>
    <w:basedOn w:val="Normal"/>
    <w:rsid w:val="0009091B"/>
    <w:pPr>
      <w:spacing w:before="100" w:beforeAutospacing="1" w:after="100" w:afterAutospacing="1"/>
    </w:pPr>
  </w:style>
  <w:style w:type="character" w:customStyle="1" w:styleId="inline-color">
    <w:name w:val="inline-color"/>
    <w:basedOn w:val="DefaultParagraphFont"/>
    <w:rsid w:val="0009091B"/>
  </w:style>
  <w:style w:type="character" w:styleId="Strong">
    <w:name w:val="Strong"/>
    <w:basedOn w:val="DefaultParagraphFont"/>
    <w:uiPriority w:val="22"/>
    <w:qFormat/>
    <w:rsid w:val="0009091B"/>
    <w:rPr>
      <w:b/>
      <w:bCs/>
    </w:rPr>
  </w:style>
  <w:style w:type="paragraph" w:styleId="BalloonText">
    <w:name w:val="Balloon Text"/>
    <w:basedOn w:val="Normal"/>
    <w:link w:val="BalloonTextChar"/>
    <w:uiPriority w:val="99"/>
    <w:semiHidden/>
    <w:unhideWhenUsed/>
    <w:rsid w:val="0009091B"/>
    <w:rPr>
      <w:rFonts w:ascii="Tahoma" w:hAnsi="Tahoma" w:cs="Tahoma"/>
      <w:sz w:val="16"/>
      <w:szCs w:val="16"/>
    </w:rPr>
  </w:style>
  <w:style w:type="character" w:customStyle="1" w:styleId="BalloonTextChar">
    <w:name w:val="Balloon Text Char"/>
    <w:basedOn w:val="DefaultParagraphFont"/>
    <w:link w:val="BalloonText"/>
    <w:uiPriority w:val="99"/>
    <w:semiHidden/>
    <w:rsid w:val="000909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91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09091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91B"/>
    <w:rPr>
      <w:rFonts w:ascii="Times New Roman" w:hAnsi="Times New Roman" w:cs="Times New Roman"/>
      <w:b/>
      <w:bCs/>
      <w:kern w:val="36"/>
      <w:sz w:val="48"/>
      <w:szCs w:val="48"/>
    </w:rPr>
  </w:style>
  <w:style w:type="paragraph" w:customStyle="1" w:styleId="paragraph-one">
    <w:name w:val="paragraph-one"/>
    <w:basedOn w:val="Normal"/>
    <w:rsid w:val="0009091B"/>
    <w:pPr>
      <w:spacing w:before="100" w:beforeAutospacing="1" w:after="100" w:afterAutospacing="1"/>
    </w:pPr>
  </w:style>
  <w:style w:type="character" w:customStyle="1" w:styleId="inline-color">
    <w:name w:val="inline-color"/>
    <w:basedOn w:val="DefaultParagraphFont"/>
    <w:rsid w:val="0009091B"/>
  </w:style>
  <w:style w:type="character" w:styleId="Strong">
    <w:name w:val="Strong"/>
    <w:basedOn w:val="DefaultParagraphFont"/>
    <w:uiPriority w:val="22"/>
    <w:qFormat/>
    <w:rsid w:val="0009091B"/>
    <w:rPr>
      <w:b/>
      <w:bCs/>
    </w:rPr>
  </w:style>
  <w:style w:type="paragraph" w:styleId="BalloonText">
    <w:name w:val="Balloon Text"/>
    <w:basedOn w:val="Normal"/>
    <w:link w:val="BalloonTextChar"/>
    <w:uiPriority w:val="99"/>
    <w:semiHidden/>
    <w:unhideWhenUsed/>
    <w:rsid w:val="0009091B"/>
    <w:rPr>
      <w:rFonts w:ascii="Tahoma" w:hAnsi="Tahoma" w:cs="Tahoma"/>
      <w:sz w:val="16"/>
      <w:szCs w:val="16"/>
    </w:rPr>
  </w:style>
  <w:style w:type="character" w:customStyle="1" w:styleId="BalloonTextChar">
    <w:name w:val="Balloon Text Char"/>
    <w:basedOn w:val="DefaultParagraphFont"/>
    <w:link w:val="BalloonText"/>
    <w:uiPriority w:val="99"/>
    <w:semiHidden/>
    <w:rsid w:val="00090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8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MA.informz.net/z/cjUucD9taT02OTU3OTYzJnA9MSZ1PTgyMjgxMzcwNSZsaT01MjAwMDI3OA/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s://MMA.informz.net/MMA/data/images/Act%20Now.png?cb=873244&amp;cb=839220"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Carroll</dc:creator>
  <cp:lastModifiedBy>Tim Carroll</cp:lastModifiedBy>
  <cp:revision>1</cp:revision>
  <dcterms:created xsi:type="dcterms:W3CDTF">2018-07-19T20:41:00Z</dcterms:created>
  <dcterms:modified xsi:type="dcterms:W3CDTF">2018-07-19T20:42:00Z</dcterms:modified>
</cp:coreProperties>
</file>